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240"/>
        <w:jc w:val="center"/>
      </w:pPr>
      <w:r>
        <w:rPr>
          <w:b/>
          <w:bCs/>
          <w:sz w:val="48"/>
          <w:szCs w:val="48"/>
        </w:rPr>
        <w:t xml:space="preserve">Chapter 1</w:t>
      </w:r>
    </w:p>
    <w:p>
      <w:pPr>
        <w:spacing w:after="120"/>
        <w:jc w:val="center"/>
      </w:pPr>
      <w:r>
        <w:drawing>
          <wp:inline distT="0" distB="0" distL="0" distR="0">
            <wp:extent cx="5715000" cy="3219450"/>
            <wp:effectExtent t="0" r="0" b="0" l="0"/>
            <wp:docPr id="1" name="image1" descr="Slide 1" title="Sli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w:t>
      </w:r>
      <w:r>
        <w:rPr>
          <w:sz w:val="32"/>
          <w:szCs w:val="32"/>
        </w:rPr>
        <w:t xml:space="preserve"> : </w:t>
      </w:r>
      <w:r>
        <w:rPr>
          <w:sz w:val="32"/>
          <w:szCs w:val="32"/>
        </w:rPr>
        <w:t xml:space="preserve">In this video, we'll talk about why traditional vision boards often fail to produce real-world results, the psychological trap of "passive manifestation," and how to shift your focus toward an action-first approach that transforms your aspirations into mechanical reality.</w:t>
      </w:r>
    </w:p>
    <w:p>
      <w:pPr>
        <w:spacing w:after="0"/>
      </w:pPr>
      <w:r>
        <w:br w:type="page"/>
      </w:r>
    </w:p>
    <w:p>
      <w:pPr>
        <w:spacing w:after="120"/>
        <w:jc w:val="center"/>
      </w:pPr>
      <w:r>
        <w:drawing>
          <wp:inline distT="0" distB="0" distL="0" distR="0">
            <wp:extent cx="5715000" cy="3219450"/>
            <wp:effectExtent t="0" r="0" b="0" l="0"/>
            <wp:docPr id="1" name="image2" descr="Slide 2" title="Sli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S2</w:t>
      </w:r>
      <w:r>
        <w:rPr>
          <w:sz w:val="32"/>
          <w:szCs w:val="32"/>
        </w:rPr>
        <w:t xml:space="preserve"> : </w:t>
      </w:r>
      <w:r>
        <w:rPr>
          <w:sz w:val="32"/>
          <w:szCs w:val="32"/>
        </w:rPr>
        <w:t xml:space="preserve">The fundamental problem with most vision boards isn't a lack of faith or desire, but a reliance on belief to accomplish what only behavior can. While many boards are filled with beautiful, breathtaking imagery, they often leave the creator's life unchanged because they offer emotional stimulation without operational instruction.</w:t>
      </w:r>
    </w:p>
    <w:p>
      <w:pPr>
        <w:spacing w:after="0"/>
      </w:pPr>
      <w:r>
        <w:br w:type="page"/>
      </w:r>
    </w:p>
    <w:p>
      <w:pPr>
        <w:spacing w:after="120"/>
        <w:jc w:val="center"/>
      </w:pPr>
      <w:r>
        <w:drawing>
          <wp:inline distT="0" distB="0" distL="0" distR="0">
            <wp:extent cx="5715000" cy="3219450"/>
            <wp:effectExtent t="0" r="0" b="0" l="0"/>
            <wp:docPr id="1" name="image3" descr="Slide 3" title="Sli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S3</w:t>
      </w:r>
      <w:r>
        <w:rPr>
          <w:sz w:val="32"/>
          <w:szCs w:val="32"/>
        </w:rPr>
        <w:t xml:space="preserve"> : </w:t>
      </w:r>
      <w:r>
        <w:rPr>
          <w:sz w:val="32"/>
          <w:szCs w:val="32"/>
        </w:rPr>
        <w:t xml:space="preserve">Modern self-development culture promotes a seductive lie: that clarity plus emotion is sufficient to reorganize reality. This "passive manifestation" suggests that if you just see and feel your desires deeply enough, action becomes optional—allowing you to feel productive while staying safely within your current routines.</w:t>
      </w:r>
    </w:p>
    <w:p>
      <w:pPr>
        <w:spacing w:after="0"/>
      </w:pPr>
      <w:r>
        <w:br w:type="page"/>
      </w:r>
    </w:p>
    <w:p>
      <w:pPr>
        <w:spacing w:after="120"/>
        <w:jc w:val="center"/>
      </w:pPr>
      <w:r>
        <w:drawing>
          <wp:inline distT="0" distB="0" distL="0" distR="0">
            <wp:extent cx="5715000" cy="3219450"/>
            <wp:effectExtent t="0" r="0" b="0" l="0"/>
            <wp:docPr id="1" name="image4" descr="Slide 4" title="Sli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S4</w:t>
      </w:r>
      <w:r>
        <w:rPr>
          <w:sz w:val="32"/>
          <w:szCs w:val="32"/>
        </w:rPr>
        <w:t xml:space="preserve"> : </w:t>
      </w:r>
      <w:r>
        <w:rPr>
          <w:sz w:val="32"/>
          <w:szCs w:val="32"/>
        </w:rPr>
        <w:t xml:space="preserve">However, your brain is wired to respond to evidence, not just images. When visualization isn't paired with tangible behavior, your nervous system eventually classifies your vision as a fantasy rather than a directive, leading to waned motivation and a vision board that becomes a "silent accusation" on your wall.</w:t>
      </w:r>
    </w:p>
    <w:p>
      <w:pPr>
        <w:spacing w:after="0"/>
      </w:pPr>
      <w:r>
        <w:br w:type="page"/>
      </w:r>
    </w:p>
    <w:p>
      <w:pPr>
        <w:spacing w:after="120"/>
        <w:jc w:val="center"/>
      </w:pPr>
      <w:r>
        <w:drawing>
          <wp:inline distT="0" distB="0" distL="0" distR="0">
            <wp:extent cx="5715000" cy="3219450"/>
            <wp:effectExtent t="0" r="0" b="0" l="0"/>
            <wp:docPr id="1" name="image5" descr="Slide 5" title="Sli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S5</w:t>
      </w:r>
      <w:r>
        <w:rPr>
          <w:sz w:val="32"/>
          <w:szCs w:val="32"/>
        </w:rPr>
        <w:t xml:space="preserve"> : </w:t>
      </w:r>
      <w:r>
        <w:rPr>
          <w:sz w:val="32"/>
          <w:szCs w:val="32"/>
        </w:rPr>
        <w:t xml:space="preserve">Visualization has value, but we must recognize it as a supportive tool, not a strategy. High performers like athletes and surgeons use visualization to prime their focus, but they achieve results through relentless training and practice; they understand that a true strategy must answer exactly what actions will be taken repeatedly to produce an outcome.</w:t>
      </w:r>
    </w:p>
    <w:p>
      <w:pPr>
        <w:spacing w:after="0"/>
      </w:pPr>
      <w:r>
        <w:br w:type="page"/>
      </w:r>
    </w:p>
    <w:p>
      <w:pPr>
        <w:spacing w:after="120"/>
        <w:jc w:val="center"/>
      </w:pPr>
      <w:r>
        <w:drawing>
          <wp:inline distT="0" distB="0" distL="0" distR="0">
            <wp:extent cx="5715000" cy="3219450"/>
            <wp:effectExtent t="0" r="0" b="0" l="0"/>
            <wp:docPr id="1" name="image6" descr="Slide 6" title="Sli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S6</w:t>
      </w:r>
      <w:r>
        <w:rPr>
          <w:sz w:val="32"/>
          <w:szCs w:val="32"/>
        </w:rPr>
        <w:t xml:space="preserve"> : </w:t>
      </w:r>
      <w:r>
        <w:rPr>
          <w:sz w:val="32"/>
          <w:szCs w:val="32"/>
        </w:rPr>
        <w:t xml:space="preserve">Traditional vision boards often fall into the "motivation trap," becoming emotionally conditional on how you feel in the moment. Relying on inspiration is unstable because motivation is volatile—influenced by sleep, stress, and mood—making it a poor foundation for building a consistent future.</w:t>
      </w:r>
    </w:p>
    <w:p>
      <w:pPr>
        <w:spacing w:after="0"/>
      </w:pPr>
      <w:r>
        <w:br w:type="page"/>
      </w:r>
    </w:p>
    <w:p>
      <w:pPr>
        <w:spacing w:after="120"/>
        <w:jc w:val="center"/>
      </w:pPr>
      <w:r>
        <w:drawing>
          <wp:inline distT="0" distB="0" distL="0" distR="0">
            <wp:extent cx="5715000" cy="3219450"/>
            <wp:effectExtent t="0" r="0" b="0" l="0"/>
            <wp:docPr id="1" name="image7" descr="Slide 7" title="Sli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S7</w:t>
      </w:r>
      <w:r>
        <w:rPr>
          <w:sz w:val="32"/>
          <w:szCs w:val="32"/>
        </w:rPr>
        <w:t xml:space="preserve"> : </w:t>
      </w:r>
      <w:r>
        <w:rPr>
          <w:sz w:val="32"/>
          <w:szCs w:val="32"/>
        </w:rPr>
        <w:t xml:space="preserve">There is a heavy psychological cost to unacted vision. Every time you look at your board without taking action, you send your brain a message that you make promises you don't keep, which quietly erodes your self-trust and self-image.</w:t>
      </w:r>
    </w:p>
    <w:p>
      <w:pPr>
        <w:spacing w:after="0"/>
      </w:pPr>
      <w:r>
        <w:br w:type="page"/>
      </w:r>
    </w:p>
    <w:p>
      <w:pPr>
        <w:spacing w:after="120"/>
        <w:jc w:val="center"/>
      </w:pPr>
      <w:r>
        <w:drawing>
          <wp:inline distT="0" distB="0" distL="0" distR="0">
            <wp:extent cx="5715000" cy="3219450"/>
            <wp:effectExtent t="0" r="0" b="0" l="0"/>
            <wp:docPr id="1" name="image8" descr="Slide 8" title="Sli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S8</w:t>
      </w:r>
      <w:r>
        <w:rPr>
          <w:sz w:val="32"/>
          <w:szCs w:val="32"/>
        </w:rPr>
        <w:t xml:space="preserve"> : </w:t>
      </w:r>
      <w:r>
        <w:rPr>
          <w:sz w:val="32"/>
          <w:szCs w:val="32"/>
        </w:rPr>
        <w:t xml:space="preserve">To reverse this damage, we must realize that action is the clearest signal you can send to your brain and your environment that a goal matters. Consistent movement—even small steps—updates your identity, sharpens your perception of opportunities, and reduces resistance by normalizing discomfort.</w:t>
      </w:r>
    </w:p>
    <w:p>
      <w:pPr>
        <w:spacing w:after="0"/>
      </w:pPr>
      <w:r>
        <w:br w:type="page"/>
      </w:r>
    </w:p>
    <w:p>
      <w:pPr>
        <w:spacing w:after="120"/>
        <w:jc w:val="center"/>
      </w:pPr>
      <w:r>
        <w:drawing>
          <wp:inline distT="0" distB="0" distL="0" distR="0">
            <wp:extent cx="5715000" cy="3219450"/>
            <wp:effectExtent t="0" r="0" b="0" l="0"/>
            <wp:docPr id="1" name="image9" descr="Slide 9" title="Sli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S9</w:t>
      </w:r>
      <w:r>
        <w:rPr>
          <w:sz w:val="32"/>
          <w:szCs w:val="32"/>
        </w:rPr>
        <w:t xml:space="preserve"> : </w:t>
      </w:r>
      <w:r>
        <w:rPr>
          <w:sz w:val="32"/>
          <w:szCs w:val="32"/>
        </w:rPr>
        <w:t xml:space="preserve">Manifestation is not mystical; it is mechanical. Movement changes your positioning, positioning changes your probability, and probability eventually changes your outcomes. The question shouldn't be "What do I want to attract?" but "What am I willing to do repeatedly?".</w:t>
      </w:r>
    </w:p>
    <w:p>
      <w:pPr>
        <w:spacing w:after="0"/>
      </w:pPr>
      <w:r>
        <w:br w:type="page"/>
      </w:r>
    </w:p>
    <w:p>
      <w:pPr>
        <w:spacing w:after="120"/>
        <w:jc w:val="center"/>
      </w:pPr>
      <w:r>
        <w:drawing>
          <wp:inline distT="0" distB="0" distL="0" distR="0">
            <wp:extent cx="5715000" cy="3219450"/>
            <wp:effectExtent t="0" r="0" b="0" l="0"/>
            <wp:docPr id="1" name="image10" descr="Slide 10" title="Sli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S10</w:t>
      </w:r>
      <w:r>
        <w:rPr>
          <w:sz w:val="32"/>
          <w:szCs w:val="32"/>
        </w:rPr>
        <w:t xml:space="preserve"> : </w:t>
      </w:r>
      <w:r>
        <w:rPr>
          <w:sz w:val="32"/>
          <w:szCs w:val="32"/>
        </w:rPr>
        <w:t xml:space="preserve">This requires a shift from an aesthetic board designed for looking to an instructional board designed for using. An action-first board acts as a behavioral compass, answering non-negotiable questions about what behaviors are required and what evidence will prove the system is working.</w:t>
      </w:r>
    </w:p>
    <w:p>
      <w:pPr>
        <w:spacing w:after="0"/>
      </w:pPr>
      <w:r>
        <w:br w:type="page"/>
      </w:r>
    </w:p>
    <w:p>
      <w:pPr>
        <w:spacing w:after="120"/>
        <w:jc w:val="center"/>
      </w:pPr>
      <w:r>
        <w:drawing>
          <wp:inline distT="0" distB="0" distL="0" distR="0">
            <wp:extent cx="5715000" cy="3219450"/>
            <wp:effectExtent t="0" r="0" b="0" l="0"/>
            <wp:docPr id="1" name="image11" descr="Slide 11" title="Sli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S11</w:t>
      </w:r>
      <w:r>
        <w:rPr>
          <w:sz w:val="32"/>
          <w:szCs w:val="32"/>
        </w:rPr>
        <w:t xml:space="preserve"> : </w:t>
      </w:r>
      <w:r>
        <w:rPr>
          <w:sz w:val="32"/>
          <w:szCs w:val="32"/>
        </w:rPr>
        <w:t xml:space="preserve">This approach is intentionally uncomfortable because it removes excuses and forces you to confront the gap between your stated desires and your actual willingness to act. Growth is rarely blocked by a lack of desire, but by the avoidance of effort, discipline, and focus.</w:t>
      </w:r>
    </w:p>
    <w:p>
      <w:pPr>
        <w:spacing w:after="0"/>
      </w:pPr>
      <w:r>
        <w:br w:type="page"/>
      </w:r>
    </w:p>
    <w:p>
      <w:pPr>
        <w:spacing w:after="120"/>
        <w:jc w:val="center"/>
      </w:pPr>
      <w:r>
        <w:drawing>
          <wp:inline distT="0" distB="0" distL="0" distR="0">
            <wp:extent cx="5715000" cy="3219450"/>
            <wp:effectExtent t="0" r="0" b="0" l="0"/>
            <wp:docPr id="1" name="image12" descr="Slide 12" title="Sli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S12</w:t>
      </w:r>
      <w:r>
        <w:rPr>
          <w:sz w:val="32"/>
          <w:szCs w:val="32"/>
        </w:rPr>
        <w:t xml:space="preserve"> : </w:t>
      </w:r>
      <w:r>
        <w:rPr>
          <w:sz w:val="32"/>
          <w:szCs w:val="32"/>
        </w:rPr>
        <w:t xml:space="preserve">By anchoring your dreams to responsibility, you restore your agency. Instead of waiting for life to respond to your hopes, you begin to watch it respond to your actions, moving from a board that merely decorates your wall to one that alters your life's trajectory.</w:t>
      </w:r>
    </w:p>
    <w:p>
      <w:pPr>
        <w:spacing w:after="0"/>
      </w:pPr>
      <w:r>
        <w:br w:type="page"/>
      </w:r>
    </w:p>
    <w:p>
      <w:pPr>
        <w:spacing w:after="120"/>
        <w:jc w:val="center"/>
      </w:pPr>
      <w:r>
        <w:drawing>
          <wp:inline distT="0" distB="0" distL="0" distR="0">
            <wp:extent cx="5715000" cy="3219450"/>
            <wp:effectExtent t="0" r="0" b="0" l="0"/>
            <wp:docPr id="1" name="image13" descr="Slide 13" title="Sli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S13</w:t>
      </w:r>
      <w:r>
        <w:rPr>
          <w:sz w:val="32"/>
          <w:szCs w:val="32"/>
        </w:rPr>
        <w:t xml:space="preserve"> : </w:t>
      </w:r>
      <w:r>
        <w:rPr>
          <w:sz w:val="32"/>
          <w:szCs w:val="32"/>
        </w:rPr>
        <w:t xml:space="preserve">We must acknowledge that passive hoping is expensive; it creates a psychological debt that drains confidence over time. The brain resolves the tension of unacted desires by lowering your belief rather than increasing your effort, a cycle that only stops when action precedes certainty.</w:t>
      </w:r>
    </w:p>
    <w:p>
      <w:pPr>
        <w:spacing w:after="0"/>
      </w:pPr>
      <w:r>
        <w:br w:type="page"/>
      </w:r>
    </w:p>
    <w:p>
      <w:pPr>
        <w:spacing w:after="120"/>
        <w:jc w:val="center"/>
      </w:pPr>
      <w:r>
        <w:drawing>
          <wp:inline distT="0" distB="0" distL="0" distR="0">
            <wp:extent cx="5715000" cy="3219450"/>
            <wp:effectExtent t="0" r="0" b="0" l="0"/>
            <wp:docPr id="1" name="image14" descr="Slide 14" title="Sli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S14</w:t>
      </w:r>
      <w:r>
        <w:rPr>
          <w:sz w:val="32"/>
          <w:szCs w:val="32"/>
        </w:rPr>
        <w:t xml:space="preserve"> : </w:t>
      </w:r>
      <w:r>
        <w:rPr>
          <w:sz w:val="32"/>
          <w:szCs w:val="32"/>
        </w:rPr>
        <w:t xml:space="preserve">Ultimately, self-respect is rebuilt through kept promises, and even small steps create the evidence needed to restore trust. Hope only becomes a powerful force for change when it is partnered with movement; without that movement, it remains a costly placebo.</w:t>
      </w:r>
    </w:p>
    <w:sectPr>
      <w:pgSz w:w="12240" w:h="15840"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uri="http://schemas.microsoft.com/office/word" w:name="compatibilityMode"/>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settings" Target="settings.xml"/><Relationship Id="rId5" Type="http://schemas.openxmlformats.org/officeDocument/2006/relationships/comments" Target="comments.xml"/><Relationship Id="rId6" Type="http://schemas.openxmlformats.org/officeDocument/2006/relationships/image" Target="media/8160080a95b88278d1ceb8017006e87090d68782.png"/><Relationship Id="rId7" Type="http://schemas.openxmlformats.org/officeDocument/2006/relationships/image" Target="media/f317016b28732247160a074ec40dd9bd44c48aeb.png"/><Relationship Id="rId8" Type="http://schemas.openxmlformats.org/officeDocument/2006/relationships/image" Target="media/1761a5926a3447967f7039d3f066062bad897908.png"/><Relationship Id="rId9" Type="http://schemas.openxmlformats.org/officeDocument/2006/relationships/image" Target="media/70516e169b0de161a27aabf68d185787721bc20b.png"/><Relationship Id="rId10" Type="http://schemas.openxmlformats.org/officeDocument/2006/relationships/image" Target="media/6e21d6f671316dc996b42929e5a9a6a8d5ffa259.png"/><Relationship Id="rId11" Type="http://schemas.openxmlformats.org/officeDocument/2006/relationships/image" Target="media/a1d40cb1f8cf8323fc37f93791001a56a06a992a.png"/><Relationship Id="rId12" Type="http://schemas.openxmlformats.org/officeDocument/2006/relationships/image" Target="media/aebbd4f91c5242071d384e7caaba87fef2751cf3.png"/><Relationship Id="rId13" Type="http://schemas.openxmlformats.org/officeDocument/2006/relationships/image" Target="media/24bc09307ea6ea22b7373ff19400e6b4ef5d3901.png"/><Relationship Id="rId14" Type="http://schemas.openxmlformats.org/officeDocument/2006/relationships/image" Target="media/e2edd44686f4a9a9e5d5f5695ef7d73c43c17ffe.png"/><Relationship Id="rId15" Type="http://schemas.openxmlformats.org/officeDocument/2006/relationships/image" Target="media/71b66516725a751512f76e34d6865014b9edf9e1.png"/><Relationship Id="rId16" Type="http://schemas.openxmlformats.org/officeDocument/2006/relationships/image" Target="media/f7dae61b14143672b7d817a717e8e3bda4858096.png"/><Relationship Id="rId17" Type="http://schemas.openxmlformats.org/officeDocument/2006/relationships/image" Target="media/c92056494f54a88e399f43ab93397e46aef34680.png"/><Relationship Id="rId18" Type="http://schemas.openxmlformats.org/officeDocument/2006/relationships/image" Target="media/55d34223f7951a5698df2ea2e78048761245e5a0.png"/><Relationship Id="rId19" Type="http://schemas.openxmlformats.org/officeDocument/2006/relationships/image" Target="media/6fea55a42f57a3c207882507536c0b0dae85209a.png"/><Relationship Id="rId20" Type="http://schemas.openxmlformats.org/officeDocument/2006/relationships/fontTable" Target="fontTable.xml"/></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2026-02-08T17:50:33.754Z</dcterms:created>
  <dcterms:modified xsi:type="dcterms:W3CDTF">2026-02-08T17:50:33.754Z</dcterms:modified>
</cp:coreProperties>
</file>

<file path=docProps/custom.xml><?xml version="1.0" encoding="utf-8"?>
<Properties xmlns="http://schemas.openxmlformats.org/officeDocument/2006/custom-properties" xmlns:vt="http://schemas.openxmlformats.org/officeDocument/2006/docPropsVTypes"/>
</file>