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spacing w:after="240"/>
        <w:jc w:val="center"/>
      </w:pPr>
      <w:r>
        <w:rPr>
          <w:b/>
          <w:bCs/>
          <w:sz w:val="48"/>
          <w:szCs w:val="48"/>
        </w:rPr>
        <w:t xml:space="preserve">Chapter 6</w:t>
      </w:r>
    </w:p>
    <w:p>
      <w:pPr>
        <w:spacing w:after="120"/>
        <w:jc w:val="center"/>
      </w:pPr>
      <w:r>
        <w:drawing>
          <wp:inline distT="0" distB="0" distL="0" distR="0">
            <wp:extent cx="5715000" cy="3219450"/>
            <wp:effectExtent t="0" r="0" b="0" l="0"/>
            <wp:docPr id="1" name="image1" descr="Slide 1" title="Sli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w:t>
      </w:r>
      <w:r>
        <w:rPr>
          <w:sz w:val="32"/>
          <w:szCs w:val="32"/>
        </w:rPr>
        <w:t xml:space="preserve"> : </w:t>
      </w:r>
      <w:r>
        <w:rPr>
          <w:sz w:val="32"/>
          <w:szCs w:val="32"/>
        </w:rPr>
        <w:t xml:space="preserve">In this video, we'll talk about the vital role of tracking evidence and micro-manifestations to prevent the erosion of motivation during the inevitable delay between action and results.</w:t>
      </w:r>
    </w:p>
    <w:p>
      <w:pPr>
        <w:spacing w:after="0"/>
      </w:pPr>
      <w:r>
        <w:br w:type="page"/>
      </w:r>
    </w:p>
    <w:p>
      <w:pPr>
        <w:spacing w:after="120"/>
        <w:jc w:val="center"/>
      </w:pPr>
      <w:r>
        <w:drawing>
          <wp:inline distT="0" distB="0" distL="0" distR="0">
            <wp:extent cx="5715000" cy="3219450"/>
            <wp:effectExtent t="0" r="0" b="0" l="0"/>
            <wp:docPr id="1" name="image2" descr="Slide 2" title="Sli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S2</w:t>
      </w:r>
      <w:r>
        <w:rPr>
          <w:sz w:val="32"/>
          <w:szCs w:val="32"/>
        </w:rPr>
        <w:t xml:space="preserve"> : </w:t>
      </w:r>
      <w:r>
        <w:rPr>
          <w:sz w:val="32"/>
          <w:szCs w:val="32"/>
        </w:rPr>
        <w:t xml:space="preserve">Most meaningful results lag behind the actions that create them, creating a psychological gap where doubt can thrive. Without visible confirmation, your mind naturally begins to question if you are wasting your time or if the system is actually working.</w:t>
      </w:r>
    </w:p>
    <w:p>
      <w:pPr>
        <w:spacing w:after="0"/>
      </w:pPr>
      <w:r>
        <w:br w:type="page"/>
      </w:r>
    </w:p>
    <w:p>
      <w:pPr>
        <w:spacing w:after="120"/>
        <w:jc w:val="center"/>
      </w:pPr>
      <w:r>
        <w:drawing>
          <wp:inline distT="0" distB="0" distL="0" distR="0">
            <wp:extent cx="5715000" cy="3219450"/>
            <wp:effectExtent t="0" r="0" b="0" l="0"/>
            <wp:docPr id="1" name="image3" descr="Slide 3" title="Sli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S3</w:t>
      </w:r>
      <w:r>
        <w:rPr>
          <w:sz w:val="32"/>
          <w:szCs w:val="32"/>
        </w:rPr>
        <w:t xml:space="preserve"> : </w:t>
      </w:r>
      <w:r>
        <w:rPr>
          <w:sz w:val="32"/>
          <w:szCs w:val="32"/>
        </w:rPr>
        <w:t xml:space="preserve">To short-circuit this doubt, an Action-First Vision Board acts as a feedback loop, capturing proof and turning invisible progress into visible confirmation.</w:t>
      </w:r>
    </w:p>
    <w:p>
      <w:pPr>
        <w:spacing w:after="0"/>
      </w:pPr>
      <w:r>
        <w:br w:type="page"/>
      </w:r>
    </w:p>
    <w:p>
      <w:pPr>
        <w:spacing w:after="120"/>
        <w:jc w:val="center"/>
      </w:pPr>
      <w:r>
        <w:drawing>
          <wp:inline distT="0" distB="0" distL="0" distR="0">
            <wp:extent cx="5715000" cy="3219450"/>
            <wp:effectExtent t="0" r="0" b="0" l="0"/>
            <wp:docPr id="1" name="image4" descr="Slide 4" title="Sli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S4</w:t>
      </w:r>
      <w:r>
        <w:rPr>
          <w:sz w:val="32"/>
          <w:szCs w:val="32"/>
        </w:rPr>
        <w:t xml:space="preserve"> : </w:t>
      </w:r>
      <w:r>
        <w:rPr>
          <w:sz w:val="32"/>
          <w:szCs w:val="32"/>
        </w:rPr>
        <w:t xml:space="preserve">We must redefine manifestation; it is rarely a sudden or dramatic event but rather a series of incremental "micro-manifestations". These are small, observable shifts—like increased fluency in a skill, reduced resistance to starting, or a slight increase in consistency—that indicate your actions are aligning with your outcomes.</w:t>
      </w:r>
    </w:p>
    <w:p>
      <w:pPr>
        <w:spacing w:after="0"/>
      </w:pPr>
      <w:r>
        <w:br w:type="page"/>
      </w:r>
    </w:p>
    <w:p>
      <w:pPr>
        <w:spacing w:after="120"/>
        <w:jc w:val="center"/>
      </w:pPr>
      <w:r>
        <w:drawing>
          <wp:inline distT="0" distB="0" distL="0" distR="0">
            <wp:extent cx="5715000" cy="3219450"/>
            <wp:effectExtent t="0" r="0" b="0" l="0"/>
            <wp:docPr id="1" name="image5" descr="Slide 5" title="Sli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S5</w:t>
      </w:r>
      <w:r>
        <w:rPr>
          <w:sz w:val="32"/>
          <w:szCs w:val="32"/>
        </w:rPr>
        <w:t xml:space="preserve"> : </w:t>
      </w:r>
      <w:r>
        <w:rPr>
          <w:sz w:val="32"/>
          <w:szCs w:val="32"/>
        </w:rPr>
        <w:t xml:space="preserve">Recording these shifts strengthens belief by anchoring it in reality rather than fantasy. Belief built on proof is resilient, whereas belief built on imagination is fragile.</w:t>
      </w:r>
    </w:p>
    <w:p>
      <w:pPr>
        <w:spacing w:after="0"/>
      </w:pPr>
      <w:r>
        <w:br w:type="page"/>
      </w:r>
    </w:p>
    <w:p>
      <w:pPr>
        <w:spacing w:after="120"/>
        <w:jc w:val="center"/>
      </w:pPr>
      <w:r>
        <w:drawing>
          <wp:inline distT="0" distB="0" distL="0" distR="0">
            <wp:extent cx="5715000" cy="3219450"/>
            <wp:effectExtent t="0" r="0" b="0" l="0"/>
            <wp:docPr id="1" name="image6" descr="Slide 6" title="Sli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S6</w:t>
      </w:r>
      <w:r>
        <w:rPr>
          <w:sz w:val="32"/>
          <w:szCs w:val="32"/>
        </w:rPr>
        <w:t xml:space="preserve"> : </w:t>
      </w:r>
      <w:r>
        <w:rPr>
          <w:sz w:val="32"/>
          <w:szCs w:val="32"/>
        </w:rPr>
        <w:t xml:space="preserve">Evidence doesn't need to be impressive to be effective, but it must be honest. You should track quantitative data like durations and counts, qualitative feedback such as self-observations, and behavioral changes like newfound ease or speed.</w:t>
      </w:r>
    </w:p>
    <w:p>
      <w:pPr>
        <w:spacing w:after="0"/>
      </w:pPr>
      <w:r>
        <w:br w:type="page"/>
      </w:r>
    </w:p>
    <w:p>
      <w:pPr>
        <w:spacing w:after="120"/>
        <w:jc w:val="center"/>
      </w:pPr>
      <w:r>
        <w:drawing>
          <wp:inline distT="0" distB="0" distL="0" distR="0">
            <wp:extent cx="5715000" cy="3219450"/>
            <wp:effectExtent t="0" r="0" b="0" l="0"/>
            <wp:docPr id="1" name="image7" descr="Slide 7" title="Sli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S7</w:t>
      </w:r>
      <w:r>
        <w:rPr>
          <w:sz w:val="32"/>
          <w:szCs w:val="32"/>
        </w:rPr>
        <w:t xml:space="preserve"> : </w:t>
      </w:r>
      <w:r>
        <w:rPr>
          <w:sz w:val="32"/>
          <w:szCs w:val="32"/>
        </w:rPr>
        <w:t xml:space="preserve">A powerful tool for this is the Evidence Log, which can be a notebook, a digital document, or a dedicated section of your board. Its job is to answer one simple question daily or weekly: "What happened because I showed up?".</w:t>
      </w:r>
    </w:p>
    <w:p>
      <w:pPr>
        <w:spacing w:after="0"/>
      </w:pPr>
      <w:r>
        <w:br w:type="page"/>
      </w:r>
    </w:p>
    <w:p>
      <w:pPr>
        <w:spacing w:after="120"/>
        <w:jc w:val="center"/>
      </w:pPr>
      <w:r>
        <w:drawing>
          <wp:inline distT="0" distB="0" distL="0" distR="0">
            <wp:extent cx="5715000" cy="3219450"/>
            <wp:effectExtent t="0" r="0" b="0" l="0"/>
            <wp:docPr id="1" name="image8" descr="Slide 8" title="Slid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S8</w:t>
      </w:r>
      <w:r>
        <w:rPr>
          <w:sz w:val="32"/>
          <w:szCs w:val="32"/>
        </w:rPr>
        <w:t xml:space="preserve"> : </w:t>
      </w:r>
      <w:r>
        <w:rPr>
          <w:sz w:val="32"/>
          <w:szCs w:val="32"/>
        </w:rPr>
        <w:t xml:space="preserve">Strategic success relies more on small wins than big ones because small wins are the scaffolding that supports long-term effort. Ignoring these small milestones is a strategic error that leaves your belief system unstable.</w:t>
      </w:r>
    </w:p>
    <w:p>
      <w:pPr>
        <w:spacing w:after="0"/>
      </w:pPr>
      <w:r>
        <w:br w:type="page"/>
      </w:r>
    </w:p>
    <w:p>
      <w:pPr>
        <w:spacing w:after="120"/>
        <w:jc w:val="center"/>
      </w:pPr>
      <w:r>
        <w:drawing>
          <wp:inline distT="0" distB="0" distL="0" distR="0">
            <wp:extent cx="5715000" cy="3219450"/>
            <wp:effectExtent t="0" r="0" b="0" l="0"/>
            <wp:docPr id="1" name="image9" descr="Slide 9" title="Slid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S9</w:t>
      </w:r>
      <w:r>
        <w:rPr>
          <w:sz w:val="32"/>
          <w:szCs w:val="32"/>
        </w:rPr>
        <w:t xml:space="preserve"> : </w:t>
      </w:r>
      <w:r>
        <w:rPr>
          <w:sz w:val="32"/>
          <w:szCs w:val="32"/>
        </w:rPr>
        <w:t xml:space="preserve">Your board should be updated regularly with this proof—using checkmarks, dates, or milestones—to counter the illusion that "nothing is happening". A static board suggests stagnation even when you are making real progress.</w:t>
      </w:r>
    </w:p>
    <w:p>
      <w:pPr>
        <w:spacing w:after="0"/>
      </w:pPr>
      <w:r>
        <w:br w:type="page"/>
      </w:r>
    </w:p>
    <w:p>
      <w:pPr>
        <w:spacing w:after="120"/>
        <w:jc w:val="center"/>
      </w:pPr>
      <w:r>
        <w:drawing>
          <wp:inline distT="0" distB="0" distL="0" distR="0">
            <wp:extent cx="5715000" cy="3219450"/>
            <wp:effectExtent t="0" r="0" b="0" l="0"/>
            <wp:docPr id="1" name="image10" descr="Slide 10" title="Slid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S10</w:t>
      </w:r>
      <w:r>
        <w:rPr>
          <w:sz w:val="32"/>
          <w:szCs w:val="32"/>
        </w:rPr>
        <w:t xml:space="preserve"> : </w:t>
      </w:r>
      <w:r>
        <w:rPr>
          <w:sz w:val="32"/>
          <w:szCs w:val="32"/>
        </w:rPr>
        <w:t xml:space="preserve">It is crucial to avoid "false metrics" or vanity numbers that encourage comparison or distract from core behaviors. Every metric should answer: "Does this indicate movement toward my specific result?".</w:t>
      </w:r>
    </w:p>
    <w:p>
      <w:pPr>
        <w:spacing w:after="0"/>
      </w:pPr>
      <w:r>
        <w:br w:type="page"/>
      </w:r>
    </w:p>
    <w:p>
      <w:pPr>
        <w:spacing w:after="120"/>
        <w:jc w:val="center"/>
      </w:pPr>
      <w:r>
        <w:drawing>
          <wp:inline distT="0" distB="0" distL="0" distR="0">
            <wp:extent cx="5715000" cy="3219450"/>
            <wp:effectExtent t="0" r="0" b="0" l="0"/>
            <wp:docPr id="1" name="image11" descr="Slide 11" title="Slid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S11</w:t>
      </w:r>
      <w:r>
        <w:rPr>
          <w:sz w:val="32"/>
          <w:szCs w:val="32"/>
        </w:rPr>
        <w:t xml:space="preserve"> : </w:t>
      </w:r>
      <w:r>
        <w:rPr>
          <w:sz w:val="32"/>
          <w:szCs w:val="32"/>
        </w:rPr>
        <w:t xml:space="preserve">During "slow seasons" of growth, such as skill acquisition or habit formation, shift your tracking from outcomes to consistency and quality of effort. Progress often whispers before it shouts, and listening requires documented attention.</w:t>
      </w:r>
    </w:p>
    <w:p>
      <w:pPr>
        <w:spacing w:after="0"/>
      </w:pPr>
      <w:r>
        <w:br w:type="page"/>
      </w:r>
    </w:p>
    <w:p>
      <w:pPr>
        <w:spacing w:after="120"/>
        <w:jc w:val="center"/>
      </w:pPr>
      <w:r>
        <w:drawing>
          <wp:inline distT="0" distB="0" distL="0" distR="0">
            <wp:extent cx="5715000" cy="3219450"/>
            <wp:effectExtent t="0" r="0" b="0" l="0"/>
            <wp:docPr id="1" name="image12" descr="Slide 12" title="Slid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7"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S12</w:t>
      </w:r>
      <w:r>
        <w:rPr>
          <w:sz w:val="32"/>
          <w:szCs w:val="32"/>
        </w:rPr>
        <w:t xml:space="preserve"> : </w:t>
      </w:r>
      <w:r>
        <w:rPr>
          <w:sz w:val="32"/>
          <w:szCs w:val="32"/>
        </w:rPr>
        <w:t xml:space="preserve">Tracking evidence stabilizes your emotions by replacing anxiety and impatience with patience and focus. When you "have the receipts" for your progress, you no longer need to negotiate with doubt.</w:t>
      </w:r>
    </w:p>
    <w:p>
      <w:pPr>
        <w:spacing w:after="0"/>
      </w:pPr>
      <w:r>
        <w:br w:type="page"/>
      </w:r>
    </w:p>
    <w:p>
      <w:pPr>
        <w:spacing w:after="120"/>
        <w:jc w:val="center"/>
      </w:pPr>
      <w:r>
        <w:drawing>
          <wp:inline distT="0" distB="0" distL="0" distR="0">
            <wp:extent cx="5715000" cy="3219450"/>
            <wp:effectExtent t="0" r="0" b="0" l="0"/>
            <wp:docPr id="1" name="image13" descr="Slide 13" title="Slid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8"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S13</w:t>
      </w:r>
      <w:r>
        <w:rPr>
          <w:sz w:val="32"/>
          <w:szCs w:val="32"/>
        </w:rPr>
        <w:t xml:space="preserve"> : </w:t>
      </w:r>
      <w:r>
        <w:rPr>
          <w:sz w:val="32"/>
          <w:szCs w:val="32"/>
        </w:rPr>
        <w:t xml:space="preserve">If evidence contradicts your expectations, do not view it as failure; view it as information. Neutral data allows you to make intelligent adjustments to your approach without abandoning the vision.</w:t>
      </w:r>
    </w:p>
    <w:p>
      <w:pPr>
        <w:spacing w:after="0"/>
      </w:pPr>
      <w:r>
        <w:br w:type="page"/>
      </w:r>
    </w:p>
    <w:p>
      <w:pPr>
        <w:spacing w:after="120"/>
        <w:jc w:val="center"/>
      </w:pPr>
      <w:r>
        <w:drawing>
          <wp:inline distT="0" distB="0" distL="0" distR="0">
            <wp:extent cx="5715000" cy="3219450"/>
            <wp:effectExtent t="0" r="0" b="0" l="0"/>
            <wp:docPr id="1" name="image14" descr="Slide 14" title="Slid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9"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S14</w:t>
      </w:r>
      <w:r>
        <w:rPr>
          <w:sz w:val="32"/>
          <w:szCs w:val="32"/>
        </w:rPr>
        <w:t xml:space="preserve"> : </w:t>
      </w:r>
      <w:r>
        <w:rPr>
          <w:sz w:val="32"/>
          <w:szCs w:val="32"/>
        </w:rPr>
        <w:t xml:space="preserve">Momentum is built by seeing that your effort actually works. As proof accumulates, your board shifts from being a reminder to act to becoming a record of your own competence.</w:t>
      </w:r>
    </w:p>
    <w:p>
      <w:pPr>
        <w:spacing w:after="0"/>
      </w:pPr>
      <w:r>
        <w:br w:type="page"/>
      </w:r>
    </w:p>
    <w:p>
      <w:pPr>
        <w:spacing w:after="120"/>
        <w:jc w:val="center"/>
      </w:pPr>
      <w:r>
        <w:drawing>
          <wp:inline distT="0" distB="0" distL="0" distR="0">
            <wp:extent cx="5715000" cy="3219450"/>
            <wp:effectExtent t="0" r="0" b="0" l="0"/>
            <wp:docPr id="1" name="image15" descr="Slide 15" title="Slid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0"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S15</w:t>
      </w:r>
      <w:r>
        <w:rPr>
          <w:sz w:val="32"/>
          <w:szCs w:val="32"/>
        </w:rPr>
        <w:t xml:space="preserve"> : </w:t>
      </w:r>
      <w:r>
        <w:rPr>
          <w:sz w:val="32"/>
          <w:szCs w:val="32"/>
        </w:rPr>
        <w:t xml:space="preserve">Finally, understand the difference between faith and denial. Denial ignores negative feedback, while faith acknowledges delays but trusts in the mechanics of causation because you are observing the progress, not pretending it exists.</w:t>
      </w:r>
    </w:p>
    <w:sectPr>
      <w:pgSz w:w="12240" w:h="15840"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uri="http://schemas.microsoft.com/office/word" w:name="compatibilityMode"/>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settings" Target="settings.xml"/><Relationship Id="rId5" Type="http://schemas.openxmlformats.org/officeDocument/2006/relationships/comments" Target="comments.xml"/><Relationship Id="rId6" Type="http://schemas.openxmlformats.org/officeDocument/2006/relationships/image" Target="media/a806c14974df1dd48e049afcc4868da9ec42e56c.png"/><Relationship Id="rId7" Type="http://schemas.openxmlformats.org/officeDocument/2006/relationships/image" Target="media/a20ab5678a4e2f50ab5080841357739d9e0538a6.png"/><Relationship Id="rId8" Type="http://schemas.openxmlformats.org/officeDocument/2006/relationships/image" Target="media/c419532a6abadb7c06dcbf0b4af4024bb74ceac8.png"/><Relationship Id="rId9" Type="http://schemas.openxmlformats.org/officeDocument/2006/relationships/image" Target="media/4d3da22d6b73d75398aab4c2a9a82d03791a50ad.png"/><Relationship Id="rId10" Type="http://schemas.openxmlformats.org/officeDocument/2006/relationships/image" Target="media/34215874349de11bb8541dadafd095003447bbe7.png"/><Relationship Id="rId11" Type="http://schemas.openxmlformats.org/officeDocument/2006/relationships/image" Target="media/3d61870568cbbf6dd9cd5f08b13d0fd6c1b51f48.png"/><Relationship Id="rId12" Type="http://schemas.openxmlformats.org/officeDocument/2006/relationships/image" Target="media/e6c683763439ee98368c4d9771791b4ea3c592f5.png"/><Relationship Id="rId13" Type="http://schemas.openxmlformats.org/officeDocument/2006/relationships/image" Target="media/18be276a459384f5eee741efd2ff916d661d32ce.png"/><Relationship Id="rId14" Type="http://schemas.openxmlformats.org/officeDocument/2006/relationships/image" Target="media/3a179dcdd32e9bf4a2ac6138403dd1032cbdfe37.png"/><Relationship Id="rId15" Type="http://schemas.openxmlformats.org/officeDocument/2006/relationships/image" Target="media/4fff86fc4b97650bfcc58cab53a98aed3cf5977f.png"/><Relationship Id="rId16" Type="http://schemas.openxmlformats.org/officeDocument/2006/relationships/image" Target="media/802af2d478faed095984001711fc057c18e56d3f.png"/><Relationship Id="rId17" Type="http://schemas.openxmlformats.org/officeDocument/2006/relationships/image" Target="media/65dc0c5b1a885fb791c0e3fc81608e2c6d213c78.png"/><Relationship Id="rId18" Type="http://schemas.openxmlformats.org/officeDocument/2006/relationships/image" Target="media/bc99cac0f537413f5e226eab6dd2319d4889058e.png"/><Relationship Id="rId19" Type="http://schemas.openxmlformats.org/officeDocument/2006/relationships/image" Target="media/ca10c3d80786ebecd7b7408f0bf60215c216d8de.png"/><Relationship Id="rId20" Type="http://schemas.openxmlformats.org/officeDocument/2006/relationships/image" Target="media/ebcbaf05aa809f5e028568b57fdff2c9b32c7933.png"/><Relationship Id="rId21" Type="http://schemas.openxmlformats.org/officeDocument/2006/relationships/fontTable" Target="fontTable.xml"/></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2026-02-08T17:50:46.746Z</dcterms:created>
  <dcterms:modified xsi:type="dcterms:W3CDTF">2026-02-08T17:50:46.746Z</dcterms:modified>
</cp:coreProperties>
</file>

<file path=docProps/custom.xml><?xml version="1.0" encoding="utf-8"?>
<Properties xmlns="http://schemas.openxmlformats.org/officeDocument/2006/custom-properties" xmlns:vt="http://schemas.openxmlformats.org/officeDocument/2006/docPropsVTypes"/>
</file>