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240"/>
        <w:jc w:val="center"/>
      </w:pPr>
      <w:r>
        <w:rPr>
          <w:b/>
          <w:bCs/>
          <w:sz w:val="48"/>
          <w:szCs w:val="48"/>
        </w:rPr>
        <w:t xml:space="preserve">Chapter 8</w:t>
      </w:r>
    </w:p>
    <w:p>
      <w:pPr>
        <w:spacing w:after="120"/>
        <w:jc w:val="center"/>
      </w:pPr>
      <w:r>
        <w:drawing>
          <wp:inline distT="0" distB="0" distL="0" distR="0">
            <wp:extent cx="5715000" cy="3219450"/>
            <wp:effectExtent t="0" r="0" b="0" l="0"/>
            <wp:docPr id="1" name="image1" descr="Slide 1" title="Sli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w:t>
      </w:r>
      <w:r>
        <w:rPr>
          <w:sz w:val="32"/>
          <w:szCs w:val="32"/>
        </w:rPr>
        <w:t xml:space="preserve"> : </w:t>
      </w:r>
      <w:r>
        <w:rPr>
          <w:sz w:val="32"/>
          <w:szCs w:val="32"/>
        </w:rPr>
        <w:t xml:space="preserve">In this video, we'll talk about living in "Manifestation Mode," the stage where your vision board moves from an external tool to an internalized identity, allowing you to transition from outcome obsession to a stabilized system of process trust.</w:t>
      </w:r>
    </w:p>
    <w:p>
      <w:pPr>
        <w:spacing w:after="0"/>
      </w:pPr>
      <w:r>
        <w:br w:type="page"/>
      </w:r>
    </w:p>
    <w:p>
      <w:pPr>
        <w:spacing w:after="120"/>
        <w:jc w:val="center"/>
      </w:pPr>
      <w:r>
        <w:drawing>
          <wp:inline distT="0" distB="0" distL="0" distR="0">
            <wp:extent cx="5715000" cy="3219450"/>
            <wp:effectExtent t="0" r="0" b="0" l="0"/>
            <wp:docPr id="1" name="image2" descr="Slide 2" title="Sli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S2</w:t>
      </w:r>
      <w:r>
        <w:rPr>
          <w:sz w:val="32"/>
          <w:szCs w:val="32"/>
        </w:rPr>
        <w:t xml:space="preserve"> : </w:t>
      </w:r>
      <w:r>
        <w:rPr>
          <w:sz w:val="32"/>
          <w:szCs w:val="32"/>
        </w:rPr>
        <w:t xml:space="preserve">Eventually, the physical vision board no longer feels like a necessity because its instructions have been fully internalized; the actions no longer feel imposed, and the discipline that once required effort now occurs with minimal friction.</w:t>
      </w:r>
    </w:p>
    <w:p>
      <w:pPr>
        <w:spacing w:after="0"/>
      </w:pPr>
      <w:r>
        <w:br w:type="page"/>
      </w:r>
    </w:p>
    <w:p>
      <w:pPr>
        <w:spacing w:after="120"/>
        <w:jc w:val="center"/>
      </w:pPr>
      <w:r>
        <w:drawing>
          <wp:inline distT="0" distB="0" distL="0" distR="0">
            <wp:extent cx="5715000" cy="3219450"/>
            <wp:effectExtent t="0" r="0" b="0" l="0"/>
            <wp:docPr id="1" name="image3" descr="Slide 3" title="Sli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S3</w:t>
      </w:r>
      <w:r>
        <w:rPr>
          <w:sz w:val="32"/>
          <w:szCs w:val="32"/>
        </w:rPr>
        <w:t xml:space="preserve"> : </w:t>
      </w:r>
      <w:r>
        <w:rPr>
          <w:sz w:val="32"/>
          <w:szCs w:val="32"/>
        </w:rPr>
        <w:t xml:space="preserve">This is the ultimate goal of the system: moving from "perpetual planning" to embodied execution. Manifestation mode is a stabilized operating system rather than a heightened emotional state, where your behaviors are part of who you are.</w:t>
      </w:r>
    </w:p>
    <w:p>
      <w:pPr>
        <w:spacing w:after="0"/>
      </w:pPr>
      <w:r>
        <w:br w:type="page"/>
      </w:r>
    </w:p>
    <w:p>
      <w:pPr>
        <w:spacing w:after="120"/>
        <w:jc w:val="center"/>
      </w:pPr>
      <w:r>
        <w:drawing>
          <wp:inline distT="0" distB="0" distL="0" distR="0">
            <wp:extent cx="5715000" cy="3219450"/>
            <wp:effectExtent t="0" r="0" b="0" l="0"/>
            <wp:docPr id="1" name="image4" descr="Slide 4" title="Sli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S4</w:t>
      </w:r>
      <w:r>
        <w:rPr>
          <w:sz w:val="32"/>
          <w:szCs w:val="32"/>
        </w:rPr>
        <w:t xml:space="preserve"> : </w:t>
      </w:r>
      <w:r>
        <w:rPr>
          <w:sz w:val="32"/>
          <w:szCs w:val="32"/>
        </w:rPr>
        <w:t xml:space="preserve">You will know the board has served its purpose when you act without daily negotiation, recover quickly from disruptions, and measure your progress calmly.</w:t>
      </w:r>
    </w:p>
    <w:p>
      <w:pPr>
        <w:spacing w:after="0"/>
      </w:pPr>
      <w:r>
        <w:br w:type="page"/>
      </w:r>
    </w:p>
    <w:p>
      <w:pPr>
        <w:spacing w:after="120"/>
        <w:jc w:val="center"/>
      </w:pPr>
      <w:r>
        <w:drawing>
          <wp:inline distT="0" distB="0" distL="0" distR="0">
            <wp:extent cx="5715000" cy="3219450"/>
            <wp:effectExtent t="0" r="0" b="0" l="0"/>
            <wp:docPr id="1" name="image5" descr="Slide 5" title="Sli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S5</w:t>
      </w:r>
      <w:r>
        <w:rPr>
          <w:sz w:val="32"/>
          <w:szCs w:val="32"/>
        </w:rPr>
        <w:t xml:space="preserve"> : </w:t>
      </w:r>
      <w:r>
        <w:rPr>
          <w:sz w:val="32"/>
          <w:szCs w:val="32"/>
        </w:rPr>
        <w:t xml:space="preserve">In its mature form, manifestation is not about "attraction" but about alignment. When what you want, what you do, and who you are become coherent, results follow reliably through consistent movement.</w:t>
      </w:r>
    </w:p>
    <w:p>
      <w:pPr>
        <w:spacing w:after="0"/>
      </w:pPr>
      <w:r>
        <w:br w:type="page"/>
      </w:r>
    </w:p>
    <w:p>
      <w:pPr>
        <w:spacing w:after="120"/>
        <w:jc w:val="center"/>
      </w:pPr>
      <w:r>
        <w:drawing>
          <wp:inline distT="0" distB="0" distL="0" distR="0">
            <wp:extent cx="5715000" cy="3219450"/>
            <wp:effectExtent t="0" r="0" b="0" l="0"/>
            <wp:docPr id="1" name="image6" descr="Slide 6" title="Sli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S6</w:t>
      </w:r>
      <w:r>
        <w:rPr>
          <w:sz w:val="32"/>
          <w:szCs w:val="32"/>
        </w:rPr>
        <w:t xml:space="preserve"> : </w:t>
      </w:r>
      <w:r>
        <w:rPr>
          <w:sz w:val="32"/>
          <w:szCs w:val="32"/>
        </w:rPr>
        <w:t xml:space="preserve">At this stage, your focus shifts from outcome obsession to process trust. You no longer need to oscillate between dreaming and doubting because you have seen the mechanics of causation work and can trace your results directly back to your actions.</w:t>
      </w:r>
    </w:p>
    <w:p>
      <w:pPr>
        <w:spacing w:after="0"/>
      </w:pPr>
      <w:r>
        <w:br w:type="page"/>
      </w:r>
    </w:p>
    <w:p>
      <w:pPr>
        <w:spacing w:after="120"/>
        <w:jc w:val="center"/>
      </w:pPr>
      <w:r>
        <w:drawing>
          <wp:inline distT="0" distB="0" distL="0" distR="0">
            <wp:extent cx="5715000" cy="3219450"/>
            <wp:effectExtent t="0" r="0" b="0" l="0"/>
            <wp:docPr id="1" name="image7" descr="Slide 7" title="Sli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S7</w:t>
      </w:r>
      <w:r>
        <w:rPr>
          <w:sz w:val="32"/>
          <w:szCs w:val="32"/>
        </w:rPr>
        <w:t xml:space="preserve"> : </w:t>
      </w:r>
      <w:r>
        <w:rPr>
          <w:sz w:val="32"/>
          <w:szCs w:val="32"/>
        </w:rPr>
        <w:t xml:space="preserve">It is important to know when to retire a board; it should not be kept out of nostalgia. Retire it once your core outcomes are achieved, your actions are fully integrated into your routine, and the board no longer provides new instructions.</w:t>
      </w:r>
    </w:p>
    <w:p>
      <w:pPr>
        <w:spacing w:after="0"/>
      </w:pPr>
      <w:r>
        <w:br w:type="page"/>
      </w:r>
    </w:p>
    <w:p>
      <w:pPr>
        <w:spacing w:after="120"/>
        <w:jc w:val="center"/>
      </w:pPr>
      <w:r>
        <w:drawing>
          <wp:inline distT="0" distB="0" distL="0" distR="0">
            <wp:extent cx="5715000" cy="3219450"/>
            <wp:effectExtent t="0" r="0" b="0" l="0"/>
            <wp:docPr id="1" name="image8" descr="Slide 8" title="Sli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S8</w:t>
      </w:r>
      <w:r>
        <w:rPr>
          <w:sz w:val="32"/>
          <w:szCs w:val="32"/>
        </w:rPr>
        <w:t xml:space="preserve"> : </w:t>
      </w:r>
      <w:r>
        <w:rPr>
          <w:sz w:val="32"/>
          <w:szCs w:val="32"/>
        </w:rPr>
        <w:t xml:space="preserve">Designing your next board should be done from a place of mastery rather than aspiration. With experience, you will choose fewer outcomes, design simpler actions, and accurately anticipate resistance based on what you know actually works.</w:t>
      </w:r>
    </w:p>
    <w:p>
      <w:pPr>
        <w:spacing w:after="0"/>
      </w:pPr>
      <w:r>
        <w:br w:type="page"/>
      </w:r>
    </w:p>
    <w:p>
      <w:pPr>
        <w:spacing w:after="120"/>
        <w:jc w:val="center"/>
      </w:pPr>
      <w:r>
        <w:drawing>
          <wp:inline distT="0" distB="0" distL="0" distR="0">
            <wp:extent cx="5715000" cy="3219450"/>
            <wp:effectExtent t="0" r="0" b="0" l="0"/>
            <wp:docPr id="1" name="image9" descr="Slide 9" title="Sli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S9</w:t>
      </w:r>
      <w:r>
        <w:rPr>
          <w:sz w:val="32"/>
          <w:szCs w:val="32"/>
        </w:rPr>
        <w:t xml:space="preserve"> : </w:t>
      </w:r>
      <w:r>
        <w:rPr>
          <w:sz w:val="32"/>
          <w:szCs w:val="32"/>
        </w:rPr>
        <w:t xml:space="preserve">You will find yourself trusting action over affirmation. You don't need to tell yourself you are capable because you have physical proof, and you don't need to chase inspiration because you rely on your structure.</w:t>
      </w:r>
    </w:p>
    <w:p>
      <w:pPr>
        <w:spacing w:after="0"/>
      </w:pPr>
      <w:r>
        <w:br w:type="page"/>
      </w:r>
    </w:p>
    <w:p>
      <w:pPr>
        <w:spacing w:after="120"/>
        <w:jc w:val="center"/>
      </w:pPr>
      <w:r>
        <w:drawing>
          <wp:inline distT="0" distB="0" distL="0" distR="0">
            <wp:extent cx="5715000" cy="3219450"/>
            <wp:effectExtent t="0" r="0" b="0" l="0"/>
            <wp:docPr id="1" name="image10" descr="Slide 10" title="Sli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S10</w:t>
      </w:r>
      <w:r>
        <w:rPr>
          <w:sz w:val="32"/>
          <w:szCs w:val="32"/>
        </w:rPr>
        <w:t xml:space="preserve"> : </w:t>
      </w:r>
      <w:r>
        <w:rPr>
          <w:sz w:val="32"/>
          <w:szCs w:val="32"/>
        </w:rPr>
        <w:t xml:space="preserve">Maintenance is the final hurdle; success is not a finish line. Living in manifestation mode means designing routines that sustain your results and finding meaning in the work even when it becomes mundane or boring.</w:t>
      </w:r>
    </w:p>
    <w:p>
      <w:pPr>
        <w:spacing w:after="0"/>
      </w:pPr>
      <w:r>
        <w:br w:type="page"/>
      </w:r>
    </w:p>
    <w:p>
      <w:pPr>
        <w:spacing w:after="120"/>
        <w:jc w:val="center"/>
      </w:pPr>
      <w:r>
        <w:drawing>
          <wp:inline distT="0" distB="0" distL="0" distR="0">
            <wp:extent cx="5715000" cy="3219450"/>
            <wp:effectExtent t="0" r="0" b="0" l="0"/>
            <wp:docPr id="1" name="image11" descr="Slide 11" title="Sli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S11</w:t>
      </w:r>
      <w:r>
        <w:rPr>
          <w:sz w:val="32"/>
          <w:szCs w:val="32"/>
        </w:rPr>
        <w:t xml:space="preserve"> : </w:t>
      </w:r>
      <w:r>
        <w:rPr>
          <w:sz w:val="32"/>
          <w:szCs w:val="32"/>
        </w:rPr>
        <w:t xml:space="preserve">A primary benefit of this approach is default competence. Because your systems are strong, you recover faster from setbacks and continue moving forward even during times of high uncertainty.</w:t>
      </w:r>
    </w:p>
    <w:p>
      <w:pPr>
        <w:spacing w:after="0"/>
      </w:pPr>
      <w:r>
        <w:br w:type="page"/>
      </w:r>
    </w:p>
    <w:p>
      <w:pPr>
        <w:spacing w:after="120"/>
        <w:jc w:val="center"/>
      </w:pPr>
      <w:r>
        <w:drawing>
          <wp:inline distT="0" distB="0" distL="0" distR="0">
            <wp:extent cx="5715000" cy="3219450"/>
            <wp:effectExtent t="0" r="0" b="0" l="0"/>
            <wp:docPr id="1" name="image12" descr="Slide 12" title="Sli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S12</w:t>
      </w:r>
      <w:r>
        <w:rPr>
          <w:sz w:val="32"/>
          <w:szCs w:val="32"/>
        </w:rPr>
        <w:t xml:space="preserve"> : </w:t>
      </w:r>
      <w:r>
        <w:rPr>
          <w:sz w:val="32"/>
          <w:szCs w:val="32"/>
        </w:rPr>
        <w:t xml:space="preserve">When action becomes habitual, your presence increases. You are no longer scattered between "wanting" and "waiting," but grounded in "doing," which improves your decision-making and self-respect.</w:t>
      </w:r>
    </w:p>
    <w:p>
      <w:pPr>
        <w:spacing w:after="0"/>
      </w:pPr>
      <w:r>
        <w:br w:type="page"/>
      </w:r>
    </w:p>
    <w:p>
      <w:pPr>
        <w:spacing w:after="120"/>
        <w:jc w:val="center"/>
      </w:pPr>
      <w:r>
        <w:drawing>
          <wp:inline distT="0" distB="0" distL="0" distR="0">
            <wp:extent cx="5715000" cy="3219450"/>
            <wp:effectExtent t="0" r="0" b="0" l="0"/>
            <wp:docPr id="1" name="image13" descr="Slide 13" title="Sli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S13</w:t>
      </w:r>
      <w:r>
        <w:rPr>
          <w:sz w:val="32"/>
          <w:szCs w:val="32"/>
        </w:rPr>
        <w:t xml:space="preserve"> : </w:t>
      </w:r>
      <w:r>
        <w:rPr>
          <w:sz w:val="32"/>
          <w:szCs w:val="32"/>
        </w:rPr>
        <w:t xml:space="preserve">You will eventually stop asking, "Will this work for me?" and start asking, "What am I building next?" not from a place of restlessness, but from grounded confidence.</w:t>
      </w:r>
    </w:p>
    <w:p>
      <w:pPr>
        <w:spacing w:after="0"/>
      </w:pPr>
      <w:r>
        <w:br w:type="page"/>
      </w:r>
    </w:p>
    <w:p>
      <w:pPr>
        <w:spacing w:after="120"/>
        <w:jc w:val="center"/>
      </w:pPr>
      <w:r>
        <w:drawing>
          <wp:inline distT="0" distB="0" distL="0" distR="0">
            <wp:extent cx="5715000" cy="3219450"/>
            <wp:effectExtent t="0" r="0" b="0" l="0"/>
            <wp:docPr id="1" name="image14" descr="Slide 14" title="Sli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S14</w:t>
      </w:r>
      <w:r>
        <w:rPr>
          <w:sz w:val="32"/>
          <w:szCs w:val="32"/>
        </w:rPr>
        <w:t xml:space="preserve"> : </w:t>
      </w:r>
      <w:r>
        <w:rPr>
          <w:sz w:val="32"/>
          <w:szCs w:val="32"/>
        </w:rPr>
        <w:t xml:space="preserve">Ultimately, the Action-First Vision Board was never about the pictures on your wall; it was about restoring integrity between your desires and your behavior.</w:t>
      </w:r>
    </w:p>
    <w:p>
      <w:pPr>
        <w:spacing w:after="0"/>
      </w:pPr>
      <w:r>
        <w:br w:type="page"/>
      </w:r>
    </w:p>
    <w:p>
      <w:pPr>
        <w:spacing w:after="120"/>
        <w:jc w:val="center"/>
      </w:pPr>
      <w:r>
        <w:drawing>
          <wp:inline distT="0" distB="0" distL="0" distR="0">
            <wp:extent cx="5715000" cy="3219450"/>
            <wp:effectExtent t="0" r="0" b="0" l="0"/>
            <wp:docPr id="1" name="image15" descr="Slide 15" title="Sli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S15</w:t>
      </w:r>
      <w:r>
        <w:rPr>
          <w:sz w:val="32"/>
          <w:szCs w:val="32"/>
        </w:rPr>
        <w:t xml:space="preserve"> : </w:t>
      </w:r>
      <w:r>
        <w:rPr>
          <w:sz w:val="32"/>
          <w:szCs w:val="32"/>
        </w:rPr>
        <w:t xml:space="preserve">You have learned that you do not manifest by believing harder, but by moving differently. Once you know how to move deliberately and honestly, you carry that method with you everywhere—no board required.</w:t>
      </w:r>
    </w:p>
    <w:sectPr>
      <w:pgSz w:w="12240" w:h="15840"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uri="http://schemas.microsoft.com/office/word" w:name="compatibilityMode"/>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settings" Target="settings.xml"/><Relationship Id="rId5" Type="http://schemas.openxmlformats.org/officeDocument/2006/relationships/comments" Target="comments.xml"/><Relationship Id="rId6" Type="http://schemas.openxmlformats.org/officeDocument/2006/relationships/image" Target="media/4e8a3d5ef2fb3f0af75531e60e04c0e8d0e47bd3.png"/><Relationship Id="rId7" Type="http://schemas.openxmlformats.org/officeDocument/2006/relationships/image" Target="media/ea6b319dccf4673156cf0f31904eca29366e8720.png"/><Relationship Id="rId8" Type="http://schemas.openxmlformats.org/officeDocument/2006/relationships/image" Target="media/c8af04dfee772c06cfd895c929a77288bd7fd071.png"/><Relationship Id="rId9" Type="http://schemas.openxmlformats.org/officeDocument/2006/relationships/image" Target="media/d4d9843e27e052b074d525d10a95fe8067473e6f.png"/><Relationship Id="rId10" Type="http://schemas.openxmlformats.org/officeDocument/2006/relationships/image" Target="media/8532ca6eafa939c6720cbaf355fad1c03840a570.png"/><Relationship Id="rId11" Type="http://schemas.openxmlformats.org/officeDocument/2006/relationships/image" Target="media/d7d0f85bc7898d3be869b1a35cc2f224ac549bb6.png"/><Relationship Id="rId12" Type="http://schemas.openxmlformats.org/officeDocument/2006/relationships/image" Target="media/22a93c77002bf8354fdb4cf4ae233116af20ba46.png"/><Relationship Id="rId13" Type="http://schemas.openxmlformats.org/officeDocument/2006/relationships/image" Target="media/7950fb9692cdab68ab36b4b1aca640143bdd44e6.png"/><Relationship Id="rId14" Type="http://schemas.openxmlformats.org/officeDocument/2006/relationships/image" Target="media/0664214134be13a7e1fb2f49031db820b9b945bc.png"/><Relationship Id="rId15" Type="http://schemas.openxmlformats.org/officeDocument/2006/relationships/image" Target="media/0923b35427d227910d3b20d0c4689e00bcdc13fd.png"/><Relationship Id="rId16" Type="http://schemas.openxmlformats.org/officeDocument/2006/relationships/image" Target="media/1704700ae37ef2044cf6c70f590a79a41d0340d4.png"/><Relationship Id="rId17" Type="http://schemas.openxmlformats.org/officeDocument/2006/relationships/image" Target="media/16b897220330c3c48ef6b952a2bb5fbd77180869.png"/><Relationship Id="rId18" Type="http://schemas.openxmlformats.org/officeDocument/2006/relationships/image" Target="media/d1489cec706eacae94719aa737a2f3274e3f8ff9.png"/><Relationship Id="rId19" Type="http://schemas.openxmlformats.org/officeDocument/2006/relationships/image" Target="media/2ac39f4d7c9265aab7447ed22eabcec453abfe00.png"/><Relationship Id="rId20" Type="http://schemas.openxmlformats.org/officeDocument/2006/relationships/image" Target="media/2f4ad5a3148b8cde88d5f4c5352bddd951a735af.png"/><Relationship Id="rId21" Type="http://schemas.openxmlformats.org/officeDocument/2006/relationships/fontTable" Target="fontTable.xml"/></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2026-02-08T17:50:52.136Z</dcterms:created>
  <dcterms:modified xsi:type="dcterms:W3CDTF">2026-02-08T17:50:52.137Z</dcterms:modified>
</cp:coreProperties>
</file>

<file path=docProps/custom.xml><?xml version="1.0" encoding="utf-8"?>
<Properties xmlns="http://schemas.openxmlformats.org/officeDocument/2006/custom-properties" xmlns:vt="http://schemas.openxmlformats.org/officeDocument/2006/docPropsVTypes"/>
</file>